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0F7DD4A5" w:rsidR="009F25CE" w:rsidRDefault="00B65CA9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1D3A8664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A31A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3EAD7E63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9677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F8F61" w14:textId="57BE20C4" w:rsidR="00BA2F2C" w:rsidRPr="00D9369E" w:rsidRDefault="00BA2F2C" w:rsidP="004B23EF">
                            <w:pPr>
                              <w:pStyle w:val="Nagwek2"/>
                              <w:jc w:val="left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57E99014" w14:textId="77777777" w:rsidR="003F1F26" w:rsidRPr="00D9369E" w:rsidRDefault="003F1F26" w:rsidP="003F1F26">
                            <w:pPr>
                              <w:widowControl w:val="0"/>
                              <w:suppressAutoHyphens/>
                              <w:jc w:val="both"/>
                              <w:rPr>
                                <w:rFonts w:ascii="Verdana" w:eastAsia="SimSun" w:hAnsi="Verdana" w:cs="Mangal"/>
                                <w:kern w:val="1"/>
                                <w:sz w:val="14"/>
                                <w:szCs w:val="14"/>
                                <w:lang w:eastAsia="hi-IN" w:bidi="hi-IN"/>
                              </w:rPr>
                            </w:pPr>
                          </w:p>
                          <w:p w14:paraId="6FF710FC" w14:textId="33FBD55F" w:rsidR="00D9369E" w:rsidRPr="00D9369E" w:rsidRDefault="00D9369E" w:rsidP="00D9369E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>PROGRAM SZKOLENIA</w:t>
                            </w:r>
                          </w:p>
                          <w:p w14:paraId="74538C67" w14:textId="77777777" w:rsidR="00D9369E" w:rsidRPr="00D9369E" w:rsidRDefault="00D9369E" w:rsidP="00D9369E">
                            <w:pPr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443E4B2C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>I.</w:t>
                            </w: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D9369E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Zagadnienia wprowadzające- systematyka nowej ustawy, cel nowych regulacji: </w:t>
                            </w:r>
                          </w:p>
                          <w:p w14:paraId="24D6A549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1.  Podział zamówień. </w:t>
                            </w:r>
                          </w:p>
                          <w:p w14:paraId="598FB43D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2.  Nowe progi stosowania ustawy. </w:t>
                            </w:r>
                          </w:p>
                          <w:p w14:paraId="79027660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3.  Porównanie definicji ustawowych (najważniejsze zmiany + nowe definicje). </w:t>
                            </w:r>
                          </w:p>
                          <w:p w14:paraId="6E84487E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4.  Zasady udzielania zamówień- rozszerzony zakres. </w:t>
                            </w:r>
                          </w:p>
                          <w:p w14:paraId="56E41C91" w14:textId="5F357301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5.  Plan postępowań- zasady sporządzania, zakres, obowiązek aktualizacji, etc. </w:t>
                            </w:r>
                          </w:p>
                          <w:p w14:paraId="0828D8B8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II. Etap przygotowania postępowania w trybie podstawowym- kluczowe elementy:</w:t>
                            </w:r>
                          </w:p>
                          <w:p w14:paraId="220ECFDB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Opis przedmiotu zamówienia i termin wykonania.</w:t>
                            </w:r>
                          </w:p>
                          <w:p w14:paraId="2D48C333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Przedmiotowe środki dowodowe. </w:t>
                            </w:r>
                          </w:p>
                          <w:p w14:paraId="5B754FAC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Prawidłowe szacowanie wartości przedmiotu zamówienia. Agregacja zamówień. </w:t>
                            </w:r>
                          </w:p>
                          <w:p w14:paraId="3E7E52A6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Warunki udziału w postępowania i przesłanki wykluczenia. Podmiotowe środki dowodowe. </w:t>
                            </w:r>
                          </w:p>
                          <w:p w14:paraId="13FB8707" w14:textId="00F056B1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Dobór kryteriów oceny ofert. </w:t>
                            </w:r>
                          </w:p>
                          <w:p w14:paraId="3377E266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III. Tryb podstawowy wariant I- bez przeprowadzenia negocjacji:</w:t>
                            </w:r>
                          </w:p>
                          <w:p w14:paraId="19352824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Minimalny zakres treści SWZ. </w:t>
                            </w:r>
                          </w:p>
                          <w:p w14:paraId="2751B2B0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Wszczęcie postępowania:</w:t>
                            </w:r>
                          </w:p>
                          <w:p w14:paraId="0440D9F7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zamieszczenie ogłoszenia o zamówieniu w BZP,</w:t>
                            </w:r>
                          </w:p>
                          <w:p w14:paraId="46F68BE8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możliwość poinformowania o wszczęciu postępowania znanych sobie wykonawców.</w:t>
                            </w:r>
                          </w:p>
                          <w:p w14:paraId="7B621F71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Wyjaśnienia i zmiany treści SWZ. </w:t>
                            </w:r>
                          </w:p>
                          <w:p w14:paraId="7E5D1BEC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Składanie ofert- wariant analogiczny do PN.</w:t>
                            </w:r>
                          </w:p>
                          <w:p w14:paraId="55051FE6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Badanie i ocena ofert. </w:t>
                            </w:r>
                          </w:p>
                          <w:p w14:paraId="2C48EC35" w14:textId="00EA8BF2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Wybór najkorzystniejszej oferty.</w:t>
                            </w:r>
                          </w:p>
                          <w:p w14:paraId="049A82E7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IV. Tryb podstawowy wariant II- możliwość negocjacji treści oferty:</w:t>
                            </w:r>
                          </w:p>
                          <w:p w14:paraId="369C7CA2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1.  Minimalny zakres treści SWZ. </w:t>
                            </w:r>
                          </w:p>
                          <w:p w14:paraId="2C662CD8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2.  Wszczęcie postępowania:</w:t>
                            </w:r>
                          </w:p>
                          <w:p w14:paraId="66D313B6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zamieszczenie ogłoszenia o zamówieniu w BZP,</w:t>
                            </w:r>
                          </w:p>
                          <w:p w14:paraId="4AA824A1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możliwość poinformowania o wszczęciu postępowania znanych sobie wykonawców. </w:t>
                            </w:r>
                          </w:p>
                          <w:p w14:paraId="2F920377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3.  Wyjaśnienia i zmiany treści SWZ. </w:t>
                            </w:r>
                          </w:p>
                          <w:p w14:paraId="0F9BB0F1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4.  Składanie ofert.  </w:t>
                            </w:r>
                          </w:p>
                          <w:p w14:paraId="62DFD6AE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5.  Zaproszenie do negocjacji- negocjacje. </w:t>
                            </w:r>
                          </w:p>
                          <w:p w14:paraId="403BB5D7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6.  Zaproszenie do składania ofert dodatkowych- oferty dodatkowe. </w:t>
                            </w:r>
                          </w:p>
                          <w:p w14:paraId="4DBBD0C5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7.  Badania i ocena ofert. </w:t>
                            </w:r>
                          </w:p>
                          <w:p w14:paraId="279DD80E" w14:textId="4107653B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8.  Wybór najkorzystniejszej oferty.  </w:t>
                            </w:r>
                          </w:p>
                          <w:p w14:paraId="6D765472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V. Tryb podstawowy wariant III- negocjacje treści oferty: </w:t>
                            </w:r>
                          </w:p>
                          <w:p w14:paraId="6F927E91" w14:textId="77777777" w:rsidR="00D9369E" w:rsidRPr="00D9369E" w:rsidRDefault="00D9369E" w:rsidP="00D9369E">
                            <w:pPr>
                              <w:spacing w:line="300" w:lineRule="auto"/>
                              <w:ind w:left="357" w:hanging="357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ab/>
                              <w:t xml:space="preserve">1. </w:t>
                            </w: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ab/>
                              <w:t>Sporządzenie opisu potrzeb i wymagań (</w:t>
                            </w:r>
                            <w:proofErr w:type="spellStart"/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OPiW</w:t>
                            </w:r>
                            <w:proofErr w:type="spellEnd"/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). </w:t>
                            </w:r>
                          </w:p>
                          <w:p w14:paraId="620E62E8" w14:textId="77777777" w:rsidR="00D9369E" w:rsidRPr="00D9369E" w:rsidRDefault="00D9369E" w:rsidP="00D9369E">
                            <w:pPr>
                              <w:spacing w:line="300" w:lineRule="auto"/>
                              <w:ind w:left="357" w:hanging="357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      2.  Wszczęcie postępowania:</w:t>
                            </w:r>
                          </w:p>
                          <w:p w14:paraId="5CF53D37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zamieszczenie ogłoszenia o zamówieniu w BZP,</w:t>
                            </w:r>
                          </w:p>
                          <w:p w14:paraId="473A4624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możliwość poinformowania o wszczęciu postępowania znanych sobie wykonawców.</w:t>
                            </w:r>
                          </w:p>
                          <w:p w14:paraId="21A1A0C8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      3.  Wyjaśnienia i zmiany treści </w:t>
                            </w:r>
                            <w:proofErr w:type="spellStart"/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OPiW</w:t>
                            </w:r>
                            <w:proofErr w:type="spellEnd"/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50A1D9FE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      4.  Składanie ofert. </w:t>
                            </w:r>
                          </w:p>
                          <w:p w14:paraId="6C34CE19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      5.  Zaproszenie do negocjacji- negocjacje. Sporządzenie SWZ. </w:t>
                            </w:r>
                          </w:p>
                          <w:p w14:paraId="40D37358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      6.  Zaproszenie do składania ofert ostatecznych- oferty ostateczne. </w:t>
                            </w:r>
                          </w:p>
                          <w:p w14:paraId="0AFCBDEE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      7.  Badanie i ocena złożonych ofert. </w:t>
                            </w:r>
                          </w:p>
                          <w:p w14:paraId="649E15F4" w14:textId="53C3699E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      8.  Wybór najkorzystniejszej oferty. </w:t>
                            </w:r>
                          </w:p>
                          <w:p w14:paraId="1FBD148C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>VI.  Umowa w sprawie zamówienia publicznego i jej wykonanie:</w:t>
                            </w:r>
                          </w:p>
                          <w:p w14:paraId="33CA0FB5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      1.  Klauzule abuzywne. </w:t>
                            </w:r>
                          </w:p>
                          <w:p w14:paraId="69C96C37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Zakres podstawowych postanowień umownych. </w:t>
                            </w:r>
                          </w:p>
                          <w:p w14:paraId="6F497589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Klauzule waloryzacyjne. </w:t>
                            </w:r>
                          </w:p>
                          <w:p w14:paraId="702EF6C3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Możliwości dokonania zmiany umowy.</w:t>
                            </w:r>
                          </w:p>
                          <w:p w14:paraId="0652EA06" w14:textId="532E0CE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Podwykonawstwo. </w:t>
                            </w:r>
                          </w:p>
                          <w:p w14:paraId="35E8AF10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>VII. Osoby odpowiedzialne za prowadzenie postępowania:</w:t>
                            </w:r>
                          </w:p>
                          <w:p w14:paraId="3A90CC35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num" w:pos="720"/>
                              </w:tabs>
                              <w:suppressAutoHyphens/>
                              <w:spacing w:line="300" w:lineRule="auto"/>
                              <w:ind w:left="709" w:hanging="283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Odpowiedzialność kierownika zamawiającego.</w:t>
                            </w:r>
                          </w:p>
                          <w:p w14:paraId="5FF6ED76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num" w:pos="720"/>
                              </w:tabs>
                              <w:suppressAutoHyphens/>
                              <w:spacing w:line="300" w:lineRule="auto"/>
                              <w:ind w:left="709" w:hanging="283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Zasady powoływania komisji przetargowej- charakter stały, okresowy.</w:t>
                            </w:r>
                          </w:p>
                          <w:p w14:paraId="1F00AA66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num" w:pos="720"/>
                              </w:tabs>
                              <w:suppressAutoHyphens/>
                              <w:spacing w:line="300" w:lineRule="auto"/>
                              <w:ind w:left="709" w:hanging="283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Przykładowa organizacja, tryb pracy, zakres obowiązków członków komisji przetargowej. </w:t>
                            </w:r>
                          </w:p>
                          <w:p w14:paraId="7795DF6C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num" w:pos="720"/>
                              </w:tabs>
                              <w:suppressAutoHyphens/>
                              <w:spacing w:line="300" w:lineRule="auto"/>
                              <w:ind w:left="709" w:hanging="283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Nowe okoliczności ustawowe wyłączenia z postępowania- konflikt interesów. </w:t>
                            </w:r>
                          </w:p>
                          <w:p w14:paraId="4BA9204E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num" w:pos="720"/>
                              </w:tabs>
                              <w:suppressAutoHyphens/>
                              <w:spacing w:line="300" w:lineRule="auto"/>
                              <w:ind w:left="709" w:hanging="283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Moment złożenia oświadczenia o braku lub istnieniu okoliczności stanowiących podstawę wyłączenia z postępowania. </w:t>
                            </w:r>
                          </w:p>
                          <w:p w14:paraId="324923BB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3AEC9D24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VIII. Panel dyskusyjny. </w:t>
                            </w:r>
                          </w:p>
                          <w:p w14:paraId="5B869C67" w14:textId="77777777" w:rsidR="00BA2F2C" w:rsidRPr="00D9369E" w:rsidRDefault="00BA2F2C" w:rsidP="00D9369E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7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" filled="f" stroked="f">
                <v:textbox>
                  <w:txbxContent>
                    <w:p w14:paraId="5A4F8F61" w14:textId="57BE20C4" w:rsidR="00BA2F2C" w:rsidRPr="00D9369E" w:rsidRDefault="00BA2F2C" w:rsidP="004B23EF">
                      <w:pPr>
                        <w:pStyle w:val="Nagwek2"/>
                        <w:jc w:val="left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57E99014" w14:textId="77777777" w:rsidR="003F1F26" w:rsidRPr="00D9369E" w:rsidRDefault="003F1F26" w:rsidP="003F1F26">
                      <w:pPr>
                        <w:widowControl w:val="0"/>
                        <w:suppressAutoHyphens/>
                        <w:jc w:val="both"/>
                        <w:rPr>
                          <w:rFonts w:ascii="Verdana" w:eastAsia="SimSun" w:hAnsi="Verdana" w:cs="Mangal"/>
                          <w:kern w:val="1"/>
                          <w:sz w:val="14"/>
                          <w:szCs w:val="14"/>
                          <w:lang w:eastAsia="hi-IN" w:bidi="hi-IN"/>
                        </w:rPr>
                      </w:pPr>
                    </w:p>
                    <w:p w14:paraId="6FF710FC" w14:textId="33FBD55F" w:rsidR="00D9369E" w:rsidRPr="00D9369E" w:rsidRDefault="00D9369E" w:rsidP="00D9369E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>PROGRAM SZKOLENIA</w:t>
                      </w:r>
                    </w:p>
                    <w:p w14:paraId="74538C67" w14:textId="77777777" w:rsidR="00D9369E" w:rsidRPr="00D9369E" w:rsidRDefault="00D9369E" w:rsidP="00D9369E">
                      <w:pPr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443E4B2C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>I.</w:t>
                      </w: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</w:t>
                      </w:r>
                      <w:r w:rsidRPr="00D9369E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Zagadnienia wprowadzające- systematyka nowej ustawy, cel nowych regulacji: </w:t>
                      </w:r>
                    </w:p>
                    <w:p w14:paraId="24D6A549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     </w:t>
                      </w: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1.  Podział zamówień. </w:t>
                      </w:r>
                    </w:p>
                    <w:p w14:paraId="598FB43D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2.  Nowe progi stosowania ustawy. </w:t>
                      </w:r>
                    </w:p>
                    <w:p w14:paraId="79027660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3.  Porównanie definicji ustawowych (najważniejsze zmiany + nowe definicje). </w:t>
                      </w:r>
                    </w:p>
                    <w:p w14:paraId="6E84487E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4.  Zasady udzielania zamówień- rozszerzony zakres. </w:t>
                      </w:r>
                    </w:p>
                    <w:p w14:paraId="56E41C91" w14:textId="5F357301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5.  Plan postępowań- zasady sporządzania, zakres, obowiązek aktualizacji, etc. </w:t>
                      </w:r>
                    </w:p>
                    <w:p w14:paraId="0828D8B8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II. Etap przygotowania postępowania w trybie podstawowym- kluczowe elementy:</w:t>
                      </w:r>
                    </w:p>
                    <w:p w14:paraId="220ECFDB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8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 w:cs="Calibri"/>
                          <w:sz w:val="14"/>
                          <w:szCs w:val="14"/>
                        </w:rPr>
                        <w:t>Opis przedmiotu zamówienia i termin wykonania.</w:t>
                      </w:r>
                    </w:p>
                    <w:p w14:paraId="2D48C333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8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Przedmiotowe środki dowodowe. </w:t>
                      </w:r>
                    </w:p>
                    <w:p w14:paraId="5B754FAC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8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Prawidłowe szacowanie wartości przedmiotu zamówienia. Agregacja zamówień. </w:t>
                      </w:r>
                    </w:p>
                    <w:p w14:paraId="3E7E52A6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8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Warunki udziału w postępowania i przesłanki wykluczenia. Podmiotowe środki dowodowe. </w:t>
                      </w:r>
                    </w:p>
                    <w:p w14:paraId="13FB8707" w14:textId="00F056B1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8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Dobór kryteriów oceny ofert. </w:t>
                      </w:r>
                    </w:p>
                    <w:p w14:paraId="3377E266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III. Tryb podstawowy wariant I- bez przeprowadzenia negocjacji:</w:t>
                      </w:r>
                    </w:p>
                    <w:p w14:paraId="19352824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Minimalny zakres treści SWZ. </w:t>
                      </w:r>
                    </w:p>
                    <w:p w14:paraId="2751B2B0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>Wszczęcie postępowania:</w:t>
                      </w:r>
                    </w:p>
                    <w:p w14:paraId="0440D9F7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>zamieszczenie ogłoszenia o zamówieniu w BZP,</w:t>
                      </w:r>
                    </w:p>
                    <w:p w14:paraId="46F68BE8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>możliwość poinformowania o wszczęciu postępowania znanych sobie wykonawców.</w:t>
                      </w:r>
                    </w:p>
                    <w:p w14:paraId="7B621F71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Wyjaśnienia i zmiany treści SWZ. </w:t>
                      </w:r>
                    </w:p>
                    <w:p w14:paraId="7E5D1BEC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>Składanie ofert- wariant analogiczny do PN.</w:t>
                      </w:r>
                    </w:p>
                    <w:p w14:paraId="55051FE6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Badanie i ocena ofert. </w:t>
                      </w:r>
                    </w:p>
                    <w:p w14:paraId="2C48EC35" w14:textId="00EA8BF2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>Wybór najkorzystniejszej oferty.</w:t>
                      </w:r>
                    </w:p>
                    <w:p w14:paraId="049A82E7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IV. Tryb podstawowy wariant II- możliwość negocjacji treści oferty:</w:t>
                      </w:r>
                    </w:p>
                    <w:p w14:paraId="369C7CA2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1.  Minimalny zakres treści SWZ. </w:t>
                      </w:r>
                    </w:p>
                    <w:p w14:paraId="2C662CD8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2.  Wszczęcie postępowania:</w:t>
                      </w:r>
                    </w:p>
                    <w:p w14:paraId="66D313B6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>zamieszczenie ogłoszenia o zamówieniu w BZP,</w:t>
                      </w:r>
                    </w:p>
                    <w:p w14:paraId="4AA824A1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możliwość poinformowania o wszczęciu postępowania znanych sobie wykonawców. </w:t>
                      </w:r>
                    </w:p>
                    <w:p w14:paraId="2F920377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3.  Wyjaśnienia i zmiany treści SWZ. </w:t>
                      </w:r>
                    </w:p>
                    <w:p w14:paraId="0F9BB0F1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4.  Składanie ofert.  </w:t>
                      </w:r>
                    </w:p>
                    <w:p w14:paraId="62DFD6AE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5.  Zaproszenie do negocjacji- negocjacje. </w:t>
                      </w:r>
                    </w:p>
                    <w:p w14:paraId="403BB5D7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6.  Zaproszenie do składania ofert dodatkowych- oferty dodatkowe. </w:t>
                      </w:r>
                    </w:p>
                    <w:p w14:paraId="4DBBD0C5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7.  Badania i ocena ofert. </w:t>
                      </w:r>
                    </w:p>
                    <w:p w14:paraId="279DD80E" w14:textId="4107653B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8.  Wybór najkorzystniejszej oferty.  </w:t>
                      </w:r>
                    </w:p>
                    <w:p w14:paraId="6D765472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 xml:space="preserve">V. Tryb podstawowy wariant III- negocjacje treści oferty: </w:t>
                      </w:r>
                    </w:p>
                    <w:p w14:paraId="6F927E91" w14:textId="77777777" w:rsidR="00D9369E" w:rsidRPr="00D9369E" w:rsidRDefault="00D9369E" w:rsidP="00D9369E">
                      <w:pPr>
                        <w:spacing w:line="300" w:lineRule="auto"/>
                        <w:ind w:left="357" w:hanging="357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ab/>
                        <w:t xml:space="preserve">1. </w:t>
                      </w: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ab/>
                        <w:t>Sporządzenie opisu potrzeb i wymagań (</w:t>
                      </w:r>
                      <w:proofErr w:type="spellStart"/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OPiW</w:t>
                      </w:r>
                      <w:proofErr w:type="spellEnd"/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). </w:t>
                      </w:r>
                    </w:p>
                    <w:p w14:paraId="620E62E8" w14:textId="77777777" w:rsidR="00D9369E" w:rsidRPr="00D9369E" w:rsidRDefault="00D9369E" w:rsidP="00D9369E">
                      <w:pPr>
                        <w:spacing w:line="300" w:lineRule="auto"/>
                        <w:ind w:left="357" w:hanging="357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      2.  Wszczęcie postępowania:</w:t>
                      </w:r>
                    </w:p>
                    <w:p w14:paraId="5CF53D37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6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zamieszczenie ogłoszenia o zamówieniu w BZP,</w:t>
                      </w:r>
                    </w:p>
                    <w:p w14:paraId="473A4624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6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możliwość poinformowania o wszczęciu postępowania znanych sobie wykonawców.</w:t>
                      </w:r>
                    </w:p>
                    <w:p w14:paraId="21A1A0C8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      3.  Wyjaśnienia i zmiany treści </w:t>
                      </w:r>
                      <w:proofErr w:type="spellStart"/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OPiW</w:t>
                      </w:r>
                      <w:proofErr w:type="spellEnd"/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.</w:t>
                      </w:r>
                    </w:p>
                    <w:p w14:paraId="50A1D9FE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      4.  Składanie ofert. </w:t>
                      </w:r>
                    </w:p>
                    <w:p w14:paraId="6C34CE19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      5.  Zaproszenie do negocjacji- negocjacje. Sporządzenie SWZ. </w:t>
                      </w:r>
                    </w:p>
                    <w:p w14:paraId="40D37358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      6.  Zaproszenie do składania ofert ostatecznych- oferty ostateczne. </w:t>
                      </w:r>
                    </w:p>
                    <w:p w14:paraId="0AFCBDEE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      7.  Badanie i ocena złożonych ofert. </w:t>
                      </w:r>
                    </w:p>
                    <w:p w14:paraId="649E15F4" w14:textId="53C3699E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      8.  Wybór najkorzystniejszej oferty. </w:t>
                      </w:r>
                    </w:p>
                    <w:p w14:paraId="1FBD148C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>VI.  Umowa w sprawie zamówienia publicznego i jej wykonanie:</w:t>
                      </w:r>
                    </w:p>
                    <w:p w14:paraId="33CA0FB5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      1.  Klauzule abuzywne. </w:t>
                      </w:r>
                    </w:p>
                    <w:p w14:paraId="69C96C37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7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Zakres podstawowych postanowień umownych. </w:t>
                      </w:r>
                    </w:p>
                    <w:p w14:paraId="6F497589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7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Klauzule waloryzacyjne. </w:t>
                      </w:r>
                    </w:p>
                    <w:p w14:paraId="702EF6C3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7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Możliwości dokonania zmiany umowy.</w:t>
                      </w:r>
                    </w:p>
                    <w:p w14:paraId="0652EA06" w14:textId="532E0CE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7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Podwykonawstwo. </w:t>
                      </w:r>
                    </w:p>
                    <w:p w14:paraId="35E8AF10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>VII. Osoby odpowiedzialne za prowadzenie postępowania:</w:t>
                      </w:r>
                    </w:p>
                    <w:p w14:paraId="3A90CC35" w14:textId="77777777" w:rsidR="00D9369E" w:rsidRPr="00D9369E" w:rsidRDefault="00D9369E" w:rsidP="00D9369E">
                      <w:pPr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num" w:pos="720"/>
                        </w:tabs>
                        <w:suppressAutoHyphens/>
                        <w:spacing w:line="300" w:lineRule="auto"/>
                        <w:ind w:left="709" w:hanging="283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Odpowiedzialność kierownika zamawiającego.</w:t>
                      </w:r>
                    </w:p>
                    <w:p w14:paraId="5FF6ED76" w14:textId="77777777" w:rsidR="00D9369E" w:rsidRPr="00D9369E" w:rsidRDefault="00D9369E" w:rsidP="00D9369E">
                      <w:pPr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num" w:pos="720"/>
                        </w:tabs>
                        <w:suppressAutoHyphens/>
                        <w:spacing w:line="300" w:lineRule="auto"/>
                        <w:ind w:left="709" w:hanging="283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Zasady powoływania komisji przetargowej- charakter stały, okresowy.</w:t>
                      </w:r>
                    </w:p>
                    <w:p w14:paraId="1F00AA66" w14:textId="77777777" w:rsidR="00D9369E" w:rsidRPr="00D9369E" w:rsidRDefault="00D9369E" w:rsidP="00D9369E">
                      <w:pPr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num" w:pos="720"/>
                        </w:tabs>
                        <w:suppressAutoHyphens/>
                        <w:spacing w:line="300" w:lineRule="auto"/>
                        <w:ind w:left="709" w:hanging="283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Przykładowa organizacja, tryb pracy, zakres obowiązków członków komisji przetargowej. </w:t>
                      </w:r>
                    </w:p>
                    <w:p w14:paraId="7795DF6C" w14:textId="77777777" w:rsidR="00D9369E" w:rsidRPr="00D9369E" w:rsidRDefault="00D9369E" w:rsidP="00D9369E">
                      <w:pPr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num" w:pos="720"/>
                        </w:tabs>
                        <w:suppressAutoHyphens/>
                        <w:spacing w:line="300" w:lineRule="auto"/>
                        <w:ind w:left="709" w:hanging="283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Nowe okoliczności ustawowe wyłączenia z postępowania- konflikt interesów. </w:t>
                      </w:r>
                    </w:p>
                    <w:p w14:paraId="4BA9204E" w14:textId="77777777" w:rsidR="00D9369E" w:rsidRPr="00D9369E" w:rsidRDefault="00D9369E" w:rsidP="00D9369E">
                      <w:pPr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num" w:pos="720"/>
                        </w:tabs>
                        <w:suppressAutoHyphens/>
                        <w:spacing w:line="300" w:lineRule="auto"/>
                        <w:ind w:left="709" w:hanging="283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Moment złożenia oświadczenia o braku lub istnieniu okoliczności stanowiących podstawę wyłączenia z postępowania. </w:t>
                      </w:r>
                    </w:p>
                    <w:p w14:paraId="324923BB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3AEC9D24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 xml:space="preserve">VIII. Panel dyskusyjny. </w:t>
                      </w:r>
                    </w:p>
                    <w:p w14:paraId="5B869C67" w14:textId="77777777" w:rsidR="00BA2F2C" w:rsidRPr="00D9369E" w:rsidRDefault="00BA2F2C" w:rsidP="00D9369E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2470B" w14:textId="3BD4B50D" w:rsidR="003A6C6D" w:rsidRDefault="0041489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61921BEC">
                <wp:simplePos x="0" y="0"/>
                <wp:positionH relativeFrom="column">
                  <wp:posOffset>-766445</wp:posOffset>
                </wp:positionH>
                <wp:positionV relativeFrom="paragraph">
                  <wp:posOffset>231140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9DEBD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32F84F9E" w14:textId="77777777" w:rsidR="001008AA" w:rsidRPr="001008AA" w:rsidRDefault="001008AA" w:rsidP="001008AA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bookmarkStart w:id="0" w:name="_Hlk60986627"/>
                            <w:r w:rsidRPr="001008AA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  <w:bookmarkEnd w:id="0"/>
                            <w:r w:rsidRPr="001008AA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TRYB PODSTAWOWY w nowym prawie zamówień publicznych [praktyczne warsztaty: od przygotowania postępowania o udzielenie zamówienia klasycznego do zawarcia umowy]</w:t>
                            </w:r>
                          </w:p>
                          <w:p w14:paraId="7B1330A5" w14:textId="77777777" w:rsidR="001008AA" w:rsidRPr="001008AA" w:rsidRDefault="001008AA" w:rsidP="001008AA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1008AA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+</w:t>
                            </w:r>
                          </w:p>
                          <w:p w14:paraId="2A3E1863" w14:textId="77777777" w:rsidR="001008AA" w:rsidRPr="001008AA" w:rsidRDefault="001008AA" w:rsidP="001008AA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1008AA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Ekstra moduł- Osoby odpowiedzialne za prowadzenie postępowania [kierownik zamawiającego a komisja przetargowa]”</w:t>
                            </w:r>
                          </w:p>
                          <w:p w14:paraId="472B5BC3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656C1264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TERMIN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38C9DBFD" w14:textId="4D19E330" w:rsidR="006966E1" w:rsidRPr="00E70E0E" w:rsidRDefault="00B160E9" w:rsidP="006966E1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19.02</w:t>
                            </w:r>
                            <w:r w:rsidR="006966E1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.2021</w:t>
                            </w:r>
                            <w:r w:rsidR="006966E1"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w godz. </w:t>
                            </w:r>
                            <w:r w:rsidR="006966E1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09</w:t>
                            </w:r>
                            <w:r w:rsidR="006966E1"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:</w:t>
                            </w:r>
                            <w:r w:rsidR="006966E1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3</w:t>
                            </w:r>
                            <w:r w:rsidR="006966E1"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0 -1</w:t>
                            </w:r>
                            <w:r w:rsidR="006966E1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3</w:t>
                            </w:r>
                            <w:r w:rsidR="006966E1"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:</w:t>
                            </w:r>
                            <w:r w:rsidR="006966E1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3</w:t>
                            </w:r>
                            <w:r w:rsidR="006966E1"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0, </w:t>
                            </w:r>
                          </w:p>
                          <w:p w14:paraId="33095393" w14:textId="77777777" w:rsidR="006966E1" w:rsidRPr="00E70E0E" w:rsidRDefault="006966E1" w:rsidP="006966E1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+ BONUS !! KONULTACJE TELEFONICZNE PRZEZ 1 GODZINĘ PO ZAKOŃCZENIU SZKOLENIA </w:t>
                            </w:r>
                          </w:p>
                          <w:p w14:paraId="1533EAB6" w14:textId="77777777" w:rsidR="00414890" w:rsidRPr="00E70E0E" w:rsidRDefault="00414890" w:rsidP="0041489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C0106D" w14:textId="77777777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D9369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D9369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biznes</w:t>
                            </w:r>
                            <w:proofErr w:type="spellEnd"/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D9369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szkolenia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D9369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D9369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D9369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60.35pt;margin-top:18.2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FOE&#10;1JLfAAAADAEAAA8AAAAAAAAAAAAAAAAAaAQAAGRycy9kb3ducmV2LnhtbFBLBQYAAAAABAAEAPMA&#10;AAB0BQAAAAA=&#10;" stroked="f">
                <v:textbox>
                  <w:txbxContent>
                    <w:p w14:paraId="34F9DEBD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32F84F9E" w14:textId="77777777" w:rsidR="001008AA" w:rsidRPr="001008AA" w:rsidRDefault="001008AA" w:rsidP="001008AA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bookmarkStart w:id="1" w:name="_Hlk60986627"/>
                      <w:r w:rsidRPr="001008AA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  <w:bookmarkEnd w:id="1"/>
                      <w:r w:rsidRPr="001008AA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TRYB PODSTAWOWY w nowym prawie zamówień publicznych [praktyczne warsztaty: od przygotowania postępowania o udzielenie zamówienia klasycznego do zawarcia umowy]</w:t>
                      </w:r>
                    </w:p>
                    <w:p w14:paraId="7B1330A5" w14:textId="77777777" w:rsidR="001008AA" w:rsidRPr="001008AA" w:rsidRDefault="001008AA" w:rsidP="001008AA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1008AA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+</w:t>
                      </w:r>
                    </w:p>
                    <w:p w14:paraId="2A3E1863" w14:textId="77777777" w:rsidR="001008AA" w:rsidRPr="001008AA" w:rsidRDefault="001008AA" w:rsidP="001008AA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1008AA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Ekstra moduł- Osoby odpowiedzialne za prowadzenie postępowania [kierownik zamawiającego a komisja przetargowa]”</w:t>
                      </w:r>
                    </w:p>
                    <w:p w14:paraId="472B5BC3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656C1264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TERMIN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38C9DBFD" w14:textId="4D19E330" w:rsidR="006966E1" w:rsidRPr="00E70E0E" w:rsidRDefault="00B160E9" w:rsidP="006966E1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19.02</w:t>
                      </w:r>
                      <w:r w:rsidR="006966E1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.2021</w:t>
                      </w:r>
                      <w:r w:rsidR="006966E1"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w godz. </w:t>
                      </w:r>
                      <w:r w:rsidR="006966E1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09</w:t>
                      </w:r>
                      <w:r w:rsidR="006966E1"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:</w:t>
                      </w:r>
                      <w:r w:rsidR="006966E1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3</w:t>
                      </w:r>
                      <w:r w:rsidR="006966E1"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0 -1</w:t>
                      </w:r>
                      <w:r w:rsidR="006966E1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3</w:t>
                      </w:r>
                      <w:r w:rsidR="006966E1"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:</w:t>
                      </w:r>
                      <w:r w:rsidR="006966E1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3</w:t>
                      </w:r>
                      <w:r w:rsidR="006966E1"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0, </w:t>
                      </w:r>
                    </w:p>
                    <w:p w14:paraId="33095393" w14:textId="77777777" w:rsidR="006966E1" w:rsidRPr="00E70E0E" w:rsidRDefault="006966E1" w:rsidP="006966E1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+ BONUS !! KONULTACJE TELEFONICZNE PRZEZ 1 GODZINĘ PO ZAKOŃCZENIU SZKOLENIA </w:t>
                      </w:r>
                    </w:p>
                    <w:p w14:paraId="1533EAB6" w14:textId="77777777" w:rsidR="00414890" w:rsidRPr="00E70E0E" w:rsidRDefault="00414890" w:rsidP="0041489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C0106D" w14:textId="77777777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D9369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D9369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email: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biznes</w:t>
                      </w:r>
                      <w:proofErr w:type="spellEnd"/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D9369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szkolenia</w:t>
                      </w:r>
                      <w:proofErr w:type="spellEnd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D9369E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D9369E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D9369E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FA59" w14:textId="77777777" w:rsidR="00CF47BB" w:rsidRDefault="00CF47BB" w:rsidP="001269DF">
      <w:r>
        <w:separator/>
      </w:r>
    </w:p>
  </w:endnote>
  <w:endnote w:type="continuationSeparator" w:id="0">
    <w:p w14:paraId="7CF23435" w14:textId="77777777" w:rsidR="00CF47BB" w:rsidRDefault="00CF47BB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BDA8" w14:textId="77777777" w:rsidR="00CF47BB" w:rsidRDefault="00CF47BB" w:rsidP="001269DF">
      <w:r>
        <w:separator/>
      </w:r>
    </w:p>
  </w:footnote>
  <w:footnote w:type="continuationSeparator" w:id="0">
    <w:p w14:paraId="6896A832" w14:textId="77777777" w:rsidR="00CF47BB" w:rsidRDefault="00CF47BB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781A" w14:textId="2AD6FBC4" w:rsidR="00D751C7" w:rsidRDefault="005F379B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27701"/>
    <w:multiLevelType w:val="hybridMultilevel"/>
    <w:tmpl w:val="4EB84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72744"/>
    <w:multiLevelType w:val="hybridMultilevel"/>
    <w:tmpl w:val="4E4ADF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224BB"/>
    <w:multiLevelType w:val="hybridMultilevel"/>
    <w:tmpl w:val="7D349538"/>
    <w:lvl w:ilvl="0" w:tplc="F14EF75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71BD1"/>
    <w:multiLevelType w:val="hybridMultilevel"/>
    <w:tmpl w:val="8E70D550"/>
    <w:lvl w:ilvl="0" w:tplc="7C00834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53168"/>
    <w:multiLevelType w:val="hybridMultilevel"/>
    <w:tmpl w:val="16AE6FE0"/>
    <w:lvl w:ilvl="0" w:tplc="940AAC0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0241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08AA"/>
    <w:rsid w:val="00104C92"/>
    <w:rsid w:val="001269DF"/>
    <w:rsid w:val="00145D74"/>
    <w:rsid w:val="00146FA6"/>
    <w:rsid w:val="001620EE"/>
    <w:rsid w:val="00165A73"/>
    <w:rsid w:val="001A0CCB"/>
    <w:rsid w:val="001C192F"/>
    <w:rsid w:val="001F1637"/>
    <w:rsid w:val="0020305C"/>
    <w:rsid w:val="00227128"/>
    <w:rsid w:val="0023586B"/>
    <w:rsid w:val="00237672"/>
    <w:rsid w:val="00275391"/>
    <w:rsid w:val="00277E96"/>
    <w:rsid w:val="00293A1D"/>
    <w:rsid w:val="002B3BF5"/>
    <w:rsid w:val="002C3CC3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E0C3D"/>
    <w:rsid w:val="003F1F26"/>
    <w:rsid w:val="00414890"/>
    <w:rsid w:val="004207F7"/>
    <w:rsid w:val="00453CFD"/>
    <w:rsid w:val="0045534B"/>
    <w:rsid w:val="00477E57"/>
    <w:rsid w:val="00487058"/>
    <w:rsid w:val="00492F45"/>
    <w:rsid w:val="004A4E09"/>
    <w:rsid w:val="004B23EF"/>
    <w:rsid w:val="004C372A"/>
    <w:rsid w:val="004C686A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A1F33"/>
    <w:rsid w:val="005D28A3"/>
    <w:rsid w:val="005E4026"/>
    <w:rsid w:val="005E6D2B"/>
    <w:rsid w:val="005F379B"/>
    <w:rsid w:val="00607924"/>
    <w:rsid w:val="006117EF"/>
    <w:rsid w:val="00613EE2"/>
    <w:rsid w:val="00615E07"/>
    <w:rsid w:val="00653F3C"/>
    <w:rsid w:val="00671626"/>
    <w:rsid w:val="0068063E"/>
    <w:rsid w:val="00685BFC"/>
    <w:rsid w:val="0069238D"/>
    <w:rsid w:val="006940EC"/>
    <w:rsid w:val="006966E1"/>
    <w:rsid w:val="006D0772"/>
    <w:rsid w:val="006F3061"/>
    <w:rsid w:val="007161BB"/>
    <w:rsid w:val="007221D9"/>
    <w:rsid w:val="0073183D"/>
    <w:rsid w:val="007411A4"/>
    <w:rsid w:val="00771484"/>
    <w:rsid w:val="007B5A28"/>
    <w:rsid w:val="007C14CF"/>
    <w:rsid w:val="007C498A"/>
    <w:rsid w:val="007E3422"/>
    <w:rsid w:val="007E3D34"/>
    <w:rsid w:val="007E578E"/>
    <w:rsid w:val="007F5202"/>
    <w:rsid w:val="0081384B"/>
    <w:rsid w:val="00816D82"/>
    <w:rsid w:val="008225FD"/>
    <w:rsid w:val="00845709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60D0"/>
    <w:rsid w:val="009F25CE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F28C9"/>
    <w:rsid w:val="00B02406"/>
    <w:rsid w:val="00B03C44"/>
    <w:rsid w:val="00B06932"/>
    <w:rsid w:val="00B160E9"/>
    <w:rsid w:val="00B20F75"/>
    <w:rsid w:val="00B21255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9369E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ewelina</cp:lastModifiedBy>
  <cp:revision>8</cp:revision>
  <cp:lastPrinted>2019-04-01T11:41:00Z</cp:lastPrinted>
  <dcterms:created xsi:type="dcterms:W3CDTF">2020-11-12T12:45:00Z</dcterms:created>
  <dcterms:modified xsi:type="dcterms:W3CDTF">2021-01-08T11:45:00Z</dcterms:modified>
</cp:coreProperties>
</file>